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Times New Roman" w:eastAsia="方正小标宋_GBK" w:cs="Times New Roman" w:hAnsi="Times New Roman"/>
          <w:sz w:val="44"/>
          <w:szCs w:val="44"/>
          <w:u w:val="none"/>
          <w:lang w:eastAsia="zh-CN"/>
        </w:rPr>
      </w:pPr>
      <w:r>
        <w:rPr>
          <w:rFonts w:ascii="Times New Roman" w:eastAsia="方正小标宋_GBK" w:cs="Times New Roman" w:hAnsi="Times New Roman"/>
          <w:color w:val="auto"/>
          <w:sz w:val="44"/>
          <w:szCs w:val="44"/>
          <w:lang w:val="en-US" w:eastAsia="zh-CN"/>
        </w:rPr>
        <w:t>巴中市支持建筑业发展九条措施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left="0"/>
        <w:jc w:val="center"/>
        <w:textAlignment w:val="auto"/>
        <w:rPr>
          <w:rFonts w:ascii="Times New Roman" w:eastAsia="方正楷体_GBK" w:cs="Times New Roman" w:hAnsi="Times New Roman"/>
          <w:sz w:val="32"/>
          <w:szCs w:val="32"/>
          <w:u w:val="none"/>
          <w:lang w:eastAsia="zh-CN"/>
        </w:rPr>
      </w:pPr>
      <w:r>
        <w:rPr>
          <w:rFonts w:ascii="Times New Roman" w:eastAsia="方正楷体_GBK" w:cs="Times New Roman" w:hAnsi="Times New Roman"/>
          <w:sz w:val="32"/>
          <w:szCs w:val="32"/>
          <w:u w:val="none"/>
          <w:lang w:eastAsia="zh-CN"/>
        </w:rPr>
        <w:t>（</w:t>
      </w:r>
      <w:r>
        <w:rPr>
          <w:rFonts w:ascii="Times New Roman" w:eastAsia="方正楷体_GBK" w:cs="Times New Roman" w:hAnsi="Times New Roman"/>
          <w:sz w:val="32"/>
          <w:szCs w:val="32"/>
          <w:u w:val="none"/>
          <w:lang w:eastAsia="zh-CN"/>
        </w:rPr>
        <w:t>征求意见</w:t>
      </w:r>
      <w:r>
        <w:rPr>
          <w:rFonts w:ascii="Times New Roman" w:eastAsia="方正楷体_GBK" w:cs="Times New Roman" w:hAnsi="Times New Roman"/>
          <w:sz w:val="32"/>
          <w:szCs w:val="32"/>
          <w:u w:val="none"/>
          <w:lang w:eastAsia="zh-CN"/>
        </w:rPr>
        <w:t>稿）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Chars="200" w:firstLine="640"/>
        <w:textAlignment w:val="auto"/>
        <w:rPr>
          <w:rFonts w:ascii="Times New Roman" w:eastAsia="方正楷体_GBK" w:cs="Times New Roman" w:hAnsi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u w:val="none"/>
        </w:rPr>
      </w:pPr>
      <w:r>
        <w:rPr>
          <w:rFonts w:ascii="Times New Roman" w:eastAsia="方正仿宋_GBK" w:cs="Times New Roman" w:hAnsi="Times New Roman"/>
          <w:sz w:val="32"/>
          <w:szCs w:val="32"/>
          <w:u w:val="none"/>
        </w:rPr>
        <w:t>为深入贯彻党中央、国务院关于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推动高质量发展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的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战略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决策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，认真落实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省委、省政府关于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“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建筑强省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建设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的部署要求和市委、市政府关于产业培育振兴的决策部署，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进一步培育和壮大建筑业企业，增强企业综合竞争力，推动建筑业高质量发展，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特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制定如下政策措施。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u w:val="none"/>
        </w:rPr>
      </w:pPr>
      <w:r>
        <w:rPr>
          <w:rFonts w:ascii="Times New Roman" w:eastAsia="方正黑体_GBK" w:cs="Times New Roman" w:hAnsi="Times New Roman"/>
          <w:sz w:val="32"/>
          <w:szCs w:val="32"/>
          <w:u w:val="none"/>
          <w:lang w:eastAsia="zh-CN"/>
        </w:rPr>
        <w:t>一、大力培育骨干企业。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支持企业转型发展，实施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“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建筑强企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培育行动，在资质升级、科技创新、资金筹措、职业技能培训、产业工人培育和市场竞争力提升等方面给予支持。支持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建筑业企业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向市政、公路、水利、电力、铁路、通信、机电及其他专项工程等全领域综合发展；支持投资咨询、勘察、设计、监理、造价等企业联合重组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，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向全过程工程咨询服务企业转型；支持具有比较优势的企业在装配式建筑、绿色建筑、智能建造等领域走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“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专精特新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发展道路；对年度建筑业营业收入首次迈入20亿元、10亿元、5亿元级台阶的建筑业企业，分别给予20万元、10万元、5万元资金奖补。鼓励企业资质升级增项，重点在水利、水电、桥梁、隧道、钢结构、输变电、电子与智能化工程等方面给予支持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，对建筑施工总承包企业资质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晋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升为特级的，一次性奖励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val="en-US" w:eastAsia="zh-CN"/>
        </w:rPr>
        <w:t>200万元；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对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建筑业企业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施工总承包企业资质晋升为一级的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，一次性奖励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val="en-US" w:eastAsia="zh-CN"/>
        </w:rPr>
        <w:t>50万元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；对水利、水电、电力、桥梁、隧道等专业承包企业资质晋升为一级的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，一次性奖励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val="en-US" w:eastAsia="zh-CN"/>
        </w:rPr>
        <w:t>10万元；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对勘察、设计、监理企业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晋升为甲级资质的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，一次性奖励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val="en-US" w:eastAsia="zh-CN"/>
        </w:rPr>
        <w:t>20万元。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鼓励企业创建优质工程，对荣获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“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鲁班奖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”“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詹天佑奖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或国家优质工程金奖的建设项目，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分别一次性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奖励50万元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。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对荣获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“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天府杯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金奖、银奖和省结构优质工程的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建设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项目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，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分别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一次性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奖励20万元、15万元、10万元。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 w:val="0"/>
        <w:overflowPunct/>
        <w:topLinePunct w:val="0"/>
        <w:autoSpaceDE/>
        <w:autoSpaceDN/>
        <w:spacing w:line="576" w:lineRule="exact"/>
        <w:ind w:firstLineChars="200" w:firstLine="640"/>
        <w:rPr>
          <w:rFonts w:ascii="Times New Roman" w:eastAsia="方正仿宋_GBK" w:cs="Times New Roman" w:hAnsi="Times New Roman"/>
          <w:sz w:val="32"/>
          <w:szCs w:val="32"/>
          <w:u w:val="none"/>
        </w:rPr>
      </w:pPr>
      <w:r>
        <w:rPr>
          <w:rFonts w:ascii="Times New Roman" w:eastAsia="方正黑体_GBK" w:cs="Times New Roman" w:hAnsi="Times New Roman"/>
          <w:sz w:val="32"/>
          <w:szCs w:val="32"/>
          <w:u w:val="none"/>
          <w:lang w:eastAsia="zh-CN"/>
        </w:rPr>
        <w:t>二、引进企业集聚发展。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利用东西部协作帮扶机制，把握革命老区重点城市对口合作等政策机遇，采取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“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一企一策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”“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一事一议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等方式，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鼓励市外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建筑业企业落户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巴中，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鼓励巴中籍在外人员将其领办（创办）的建筑业企业迁回巴中。对落户巴中企业实行奖励政策，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对持有施工总承包特级资质、施工总承包一级资质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和专业承包一级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资质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的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企业，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 w:bidi="ar-SA"/>
        </w:rPr>
        <w:t>正常开展营业活动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val="en-US" w:eastAsia="zh-CN" w:bidi="ar-SA"/>
        </w:rPr>
        <w:t>1年以上的，分别给予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200万元、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val="en-US" w:eastAsia="zh-CN" w:bidi="ar-SA"/>
        </w:rPr>
        <w:t>5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0万元、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val="en-US" w:eastAsia="zh-CN" w:bidi="ar-SA"/>
        </w:rPr>
        <w:t>10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万元一次性奖励，并优先保障企业所需生产生活用地。凡落户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 w:bidi="ar-SA"/>
        </w:rPr>
        <w:t>巴中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的市外二级、三级企业或外来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 w:bidi="ar-SA"/>
        </w:rPr>
        <w:t>建筑业企业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在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 w:bidi="ar-SA"/>
        </w:rPr>
        <w:t>巴中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市注册成立具有独立法人资格的子公司，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 w:bidi="ar-SA"/>
        </w:rPr>
        <w:t>正常开展营业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val="en-US" w:eastAsia="zh-CN" w:bidi="ar-SA"/>
        </w:rPr>
        <w:t>1年以上的，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给予5万元一次性奖励。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u w:val="none"/>
        </w:rPr>
      </w:pPr>
      <w:r>
        <w:rPr>
          <w:rFonts w:ascii="Times New Roman" w:eastAsia="方正黑体_GBK" w:cs="Times New Roman" w:hAnsi="Times New Roman"/>
          <w:sz w:val="32"/>
          <w:szCs w:val="32"/>
          <w:u w:val="none"/>
          <w:lang w:eastAsia="zh-CN"/>
        </w:rPr>
        <w:t>三、推进企业战略合作。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鼓励市内骨干企业与市外大型建筑业企业组建联合体，投标参与城市更新、地下综合管廊、高等级公路、河湖整治等基础设施项目建设，对以联合体方式承接的工程项目业绩予以认可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。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建立市内国有企业与市内民营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建筑业企业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结对联合机制，发挥各自比较优势，增强民营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建筑业企业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市场拓展能力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。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推动市内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建筑业企业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与各级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国有企业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深度合作，提升企业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“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投融建营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综合管理能力。</w:t>
      </w:r>
      <w:r>
        <w:rPr>
          <w:rFonts w:ascii="Times New Roman" w:eastAsia="方正仿宋_GBK" w:cs="Times New Roman" w:hAnsi="Times New Roman"/>
          <w:spacing w:val="-6"/>
          <w:sz w:val="32"/>
          <w:szCs w:val="32"/>
          <w:u w:val="none"/>
        </w:rPr>
        <w:t>支持有条件的市属国有骨干企业</w:t>
      </w:r>
      <w:r>
        <w:rPr>
          <w:rFonts w:ascii="Times New Roman" w:eastAsia="方正仿宋_GBK" w:cs="Times New Roman" w:hAnsi="Times New Roman"/>
          <w:spacing w:val="-6"/>
          <w:sz w:val="32"/>
          <w:szCs w:val="32"/>
          <w:u w:val="none"/>
          <w:lang w:eastAsia="zh-CN"/>
        </w:rPr>
        <w:t>作</w:t>
      </w:r>
      <w:r>
        <w:rPr>
          <w:rFonts w:ascii="Times New Roman" w:eastAsia="方正仿宋_GBK" w:cs="Times New Roman" w:hAnsi="Times New Roman"/>
          <w:spacing w:val="-6"/>
          <w:sz w:val="32"/>
          <w:szCs w:val="32"/>
          <w:u w:val="none"/>
        </w:rPr>
        <w:t>为主体</w:t>
      </w:r>
      <w:r>
        <w:rPr>
          <w:rFonts w:ascii="Times New Roman" w:eastAsia="方正仿宋_GBK" w:cs="Times New Roman" w:hAnsi="Times New Roman"/>
          <w:spacing w:val="-6"/>
          <w:sz w:val="32"/>
          <w:szCs w:val="32"/>
          <w:u w:val="none"/>
          <w:lang w:eastAsia="zh-CN"/>
        </w:rPr>
        <w:t>，</w:t>
      </w:r>
      <w:r>
        <w:rPr>
          <w:rFonts w:ascii="Times New Roman" w:eastAsia="方正仿宋_GBK" w:cs="Times New Roman" w:hAnsi="Times New Roman"/>
          <w:spacing w:val="-6"/>
          <w:sz w:val="32"/>
          <w:szCs w:val="32"/>
          <w:u w:val="none"/>
        </w:rPr>
        <w:t>以股权多元化等方式筹建</w:t>
      </w:r>
      <w:r>
        <w:rPr>
          <w:rFonts w:ascii="Times New Roman" w:cs="Times New Roman" w:hAnsi="Times New Roman" w:hint="eastAsia"/>
          <w:spacing w:val="-6"/>
          <w:sz w:val="32"/>
          <w:szCs w:val="32"/>
          <w:u w:val="none"/>
          <w:lang w:eastAsia="zh-CN"/>
        </w:rPr>
        <w:t>“</w:t>
      </w:r>
      <w:r>
        <w:rPr>
          <w:rFonts w:ascii="Times New Roman" w:eastAsia="方正仿宋_GBK" w:cs="Times New Roman" w:hAnsi="Times New Roman"/>
          <w:spacing w:val="-6"/>
          <w:sz w:val="32"/>
          <w:szCs w:val="32"/>
          <w:u w:val="none"/>
        </w:rPr>
        <w:t>大建工</w:t>
      </w:r>
      <w:r>
        <w:rPr>
          <w:rFonts w:ascii="Times New Roman" w:cs="Times New Roman" w:hAnsi="Times New Roman" w:hint="eastAsia"/>
          <w:spacing w:val="-6"/>
          <w:sz w:val="32"/>
          <w:szCs w:val="32"/>
          <w:u w:val="none"/>
          <w:lang w:eastAsia="zh-CN"/>
        </w:rPr>
        <w:t>”</w:t>
      </w:r>
      <w:r>
        <w:rPr>
          <w:rFonts w:ascii="Times New Roman" w:eastAsia="方正仿宋_GBK" w:cs="Times New Roman" w:hAnsi="Times New Roman"/>
          <w:spacing w:val="-6"/>
          <w:sz w:val="32"/>
          <w:szCs w:val="32"/>
          <w:u w:val="none"/>
        </w:rPr>
        <w:t>集团，打造发展共同体。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u w:val="none"/>
        </w:rPr>
      </w:pPr>
      <w:r>
        <w:rPr>
          <w:rFonts w:ascii="Times New Roman" w:eastAsia="方正黑体_GBK" w:cs="Times New Roman" w:hAnsi="Times New Roman"/>
          <w:sz w:val="32"/>
          <w:szCs w:val="32"/>
          <w:u w:val="none"/>
          <w:lang w:eastAsia="zh-CN"/>
        </w:rPr>
        <w:t>四、支持参与重点项目建设。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支持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市内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建筑业企业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开拓重点领域市场，积极参与全市交通水利、桥梁隧道、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海绵城市、城市更新、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老旧小区改造、乡村振兴等重点项目建设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 w:bidi="ar-SA"/>
        </w:rPr>
        <w:t>。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鼓励市内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建筑业企业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根据市场实际，以项目、技术、资金、管理等为纽带，开展多种形式联合经营，共同开拓市场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。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支持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市内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 w:bidi="ar-SA"/>
        </w:rPr>
        <w:t>建筑业企业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参与重大项目建设时，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积极推行工程总承包模式，促进设计、生产、施工深度融合，培育工程总承包市场。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left="0" w:firstLineChars="200" w:firstLine="640"/>
        <w:textAlignment w:val="auto"/>
        <w:rPr>
          <w:rFonts w:ascii="Times New Roman" w:cs="Times New Roman" w:hAnsi="Times New Roman"/>
          <w:u w:val="none"/>
        </w:rPr>
      </w:pPr>
      <w:r>
        <w:rPr>
          <w:rFonts w:ascii="Times New Roman" w:eastAsia="方正黑体_GBK" w:cs="Times New Roman" w:hAnsi="Times New Roman"/>
          <w:sz w:val="32"/>
          <w:szCs w:val="32"/>
          <w:u w:val="none"/>
          <w:lang w:eastAsia="zh-CN"/>
        </w:rPr>
        <w:t>五、加快对外开拓步伐。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  <w:highlight w:val="auto"/>
        </w:rPr>
        <w:t>积极搭建平台，支持企业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 w:bidi="ar-SA"/>
          <w:highlight w:val="auto"/>
        </w:rPr>
        <w:t>“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  <w:highlight w:val="auto"/>
        </w:rPr>
        <w:t>走出去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 w:bidi="ar-SA"/>
          <w:highlight w:val="auto"/>
        </w:rPr>
        <w:t>”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  <w:highlight w:val="auto"/>
        </w:rPr>
        <w:t>发展，大力拓展市外工程建设市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场。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建立市外建筑市场对接协调机制，协助企业解决工程款支付、安全生产、权益维护、法律援助、应急处置等问题。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对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 w:bidi="ar-SA"/>
        </w:rPr>
        <w:t>本市建筑业企业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在市外完成的工程业绩和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 w:bidi="ar-SA"/>
        </w:rPr>
        <w:t>获得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奖项，在企业资质申报、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招标投标、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信用评价等方面予以认可和支持。鼓励本地企业与央企、大型国企合作，着力提升对外工程承包规模和品牌效应，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 w:bidi="ar-SA"/>
        </w:rPr>
        <w:t>全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力打造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 w:bidi="ar-SA"/>
        </w:rPr>
        <w:t>“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巴中建工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 w:bidi="ar-SA"/>
        </w:rPr>
        <w:t>”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品牌。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对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在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市外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年度建筑业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营业收入超过10亿元、5亿元、1亿元的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本地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建筑业企业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，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分别给予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val="en-US" w:eastAsia="zh-CN"/>
        </w:rPr>
        <w:t>100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万元、5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val="en-US" w:eastAsia="zh-CN"/>
        </w:rPr>
        <w:t>0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万元、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val="en-US" w:eastAsia="zh-CN"/>
        </w:rPr>
        <w:t>20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万元一次性资金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奖补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u w:val="none"/>
        </w:rPr>
      </w:pPr>
      <w:r>
        <w:rPr>
          <w:rFonts w:ascii="Times New Roman" w:eastAsia="方正黑体_GBK" w:cs="Times New Roman" w:hAnsi="Times New Roman"/>
          <w:sz w:val="32"/>
          <w:szCs w:val="32"/>
          <w:u w:val="none"/>
          <w:lang w:eastAsia="zh-CN"/>
        </w:rPr>
        <w:t>六、持续优化营商环境。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深入落实工程建设项目审批制度改革，积极推行企业资质审批告知承诺制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 w:bidi="ar-SA"/>
        </w:rPr>
        <w:t>，推进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“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评定分离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和不见面开标、远程异地评标。按照国家、省有关计价规定编制招标控制价，鼓励发包人对价格风险进行合理分担。鼓励在合同中约定因不可抗力以及重污染天气、政府重大活动保障等原因停工的，给予合理工期补偿，造成损失和费用增加的，按照有关规定和合同约定合理分担。完善工程造价信息品目，适时更新材料价格信息，对采用新工艺新技术，适时配套编制临时定额。持续深入整顿建筑市场，严厉打击违法发包、转包、违法分包和挂靠等行为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，</w:t>
      </w:r>
      <w:r>
        <w:rPr>
          <w:rFonts w:ascii="Times New Roman" w:eastAsia="方正仿宋_GBK" w:cs="Times New Roman" w:hAnsi="Times New Roman"/>
          <w:kern w:val="0"/>
          <w:sz w:val="32"/>
          <w:szCs w:val="32"/>
          <w:u w:val="none"/>
          <w:lang w:bidi="ar-SA"/>
        </w:rPr>
        <w:t>强化事中事后监管服务，实现建筑市场和施工现场联动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，营造公平竞争环境</w:t>
      </w:r>
      <w:r>
        <w:rPr>
          <w:rFonts w:ascii="Times New Roman" w:eastAsia="方正仿宋_GBK" w:cs="Times New Roman" w:hAnsi="Times New Roman"/>
          <w:kern w:val="0"/>
          <w:sz w:val="32"/>
          <w:szCs w:val="32"/>
          <w:u w:val="none"/>
          <w:lang w:bidi="ar-SA"/>
        </w:rPr>
        <w:t>。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规范施工现场人员监管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“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锁证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方式，在建工程项目仅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“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锁定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施工企业项目负责人和工程监理单位总监理工程师。同一施工单位在同一工程相邻标段施工过程中，可使用同一套满足工程规模和安全生产要求的现场管理人员。推行包容审慎监管，落实建筑市场、施工现场轻微违法行为免于行政处罚制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u w:val="none"/>
        </w:rPr>
      </w:pPr>
      <w:r>
        <w:rPr>
          <w:rFonts w:ascii="Times New Roman" w:eastAsia="方正黑体_GBK" w:cs="Times New Roman" w:hAnsi="Times New Roman"/>
          <w:sz w:val="32"/>
          <w:szCs w:val="32"/>
          <w:u w:val="none"/>
          <w:lang w:eastAsia="zh-CN"/>
        </w:rPr>
        <w:t>七、切实减轻企业负担。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严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格执行投标保证金、履约保证金、工程质量保证金有关限额和退还规定，全面推行工程担保制度，建筑业企业可采取银行保函、专业担保公司担保函、保证保险等方式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，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替代现金形式缴纳保证金。工程项目已提供履约担保或竣工前已缴纳履约保证金的，建设单位不得同时预留工程质量保证金。积极推行工程款支付担保，建设单位应向施工单位提供工程款支付担保。严格实行施工过程结算，落实工程预付款、进度款和竣工结算制度，不得要求施工单位垫资建设。加强政府性投资项目管理，严格按合同约定兑现落实工程款结算和支付。建设单位不得以审计机关的审计结论作为竣工结算依据，不得以未完成审计为由延期或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bidi="ar-SA"/>
        </w:rPr>
        <w:t>拒绝办理工程结算和工程款支付。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firstLineChars="200" w:firstLine="640"/>
        <w:textAlignment w:val="auto"/>
        <w:rPr>
          <w:rFonts w:ascii="Times New Roman" w:eastAsia="方正仿宋_GBK" w:cs="Times New Roman" w:hAnsi="Times New Roman"/>
          <w:sz w:val="32"/>
          <w:szCs w:val="32"/>
          <w:u w:val="none"/>
        </w:rPr>
      </w:pPr>
      <w:r>
        <w:rPr>
          <w:rFonts w:ascii="Times New Roman" w:eastAsia="方正黑体_GBK" w:cs="Times New Roman" w:hAnsi="Times New Roman"/>
          <w:sz w:val="32"/>
          <w:szCs w:val="32"/>
          <w:u w:val="none"/>
          <w:lang w:eastAsia="zh-CN"/>
        </w:rPr>
        <w:t>八、加强人才队伍建设。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加大对工程建设管理专业人才的培养和引进，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探索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“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政招企用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等方式，重点培养一批懂经营、善管理、晓技术的复合型经营管理人才。引导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建筑业企业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适应建筑工业化、数字化、智能化转型需求，鼓励建筑业企业加强自主培训，加快自有核心技术工人队伍培育，提高企业核心竞争力。加强产业工人队伍基地建设，采取校企联合办班、定向培养等方式，培育职业化、专业化、技能化建筑产业工人队伍，提升建筑技能人才供给能力。加大建筑工人岗前培训和技能提升培训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力度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，对取得职业技能等级证书且符合条件的人员给予技能提升补贴。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鼓励参与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行业技能竞赛，获省级建筑技能大赛奖项的，支持申报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“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四川省技术能手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”“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四川五一劳动奖章</w:t>
      </w:r>
      <w:r>
        <w:rPr>
          <w:rFonts w:ascii="Times New Roman" w:cs="Times New Roman" w:hAnsi="Times New Roman" w:hint="eastAsia"/>
          <w:sz w:val="32"/>
          <w:szCs w:val="32"/>
          <w:u w:val="none"/>
          <w:lang w:eastAsia="zh-CN"/>
        </w:rPr>
        <w:t>”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等评选。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29"/>
        <w:jc w:val="left"/>
        <w:textAlignment w:val="auto"/>
        <w:rPr>
          <w:rFonts w:ascii="Times New Roman" w:eastAsia="方正仿宋_GBK" w:cs="Times New Roman" w:hAnsi="Times New Roman"/>
          <w:kern w:val="0"/>
          <w:sz w:val="32"/>
          <w:szCs w:val="32"/>
          <w:u w:val="none"/>
          <w:lang w:val="zh-CN" w:eastAsia="zh-CN" w:bidi="ar-SA"/>
        </w:rPr>
      </w:pPr>
      <w:r>
        <w:rPr>
          <w:rFonts w:ascii="Times New Roman" w:eastAsia="方正黑体_GBK" w:cs="Times New Roman" w:hAnsi="Times New Roman"/>
          <w:sz w:val="32"/>
          <w:szCs w:val="32"/>
          <w:u w:val="none"/>
          <w:lang w:eastAsia="zh-CN"/>
        </w:rPr>
        <w:t>九、健全服务保障体系。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加强会商研判，及时协调解决建筑业企业发展中的重点难点问题</w:t>
      </w:r>
      <w:r>
        <w:rPr>
          <w:rFonts w:ascii="Times New Roman" w:eastAsia="方正仿宋_GBK" w:cs="Times New Roman" w:hAnsi="Times New Roman"/>
          <w:bCs/>
          <w:sz w:val="32"/>
          <w:szCs w:val="32"/>
          <w:u w:val="none"/>
          <w:lang w:eastAsia="zh-CN" w:bidi="ar-SA"/>
        </w:rPr>
        <w:t>。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建立挂包帮机制，市县（区）住房城乡建设主管部门领导班子成员至少联系1家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建筑业企业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，为企业发展提供服务指导，帮助企业纾困解难。建立年度营业收入、增长贡献、应急抢险等建筑业企业行为通报表扬激励机制。加强建筑工地疫情防控，支持发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eastAsia="zh-CN"/>
        </w:rPr>
        <w:t>包</w:t>
      </w:r>
      <w:r>
        <w:rPr>
          <w:rFonts w:ascii="Times New Roman" w:eastAsia="方正仿宋_GBK" w:cs="Times New Roman" w:hAnsi="Times New Roman"/>
          <w:sz w:val="32"/>
          <w:szCs w:val="32"/>
          <w:u w:val="none"/>
        </w:rPr>
        <w:t>承包双方结合工程实际，在建设工程造价中协商增加常态化疫情防控措施费，将因疫情防控造成施工降效、窝工等所产生的费用计入工程造价。</w:t>
      </w:r>
    </w:p>
    <w:p>
      <w:r>
        <w:rPr>
          <w:rFonts w:ascii="Times New Roman" w:eastAsia="方正仿宋_GBK" w:cs="Times New Roman" w:hAnsi="Times New Roman"/>
          <w:sz w:val="32"/>
          <w:szCs w:val="32"/>
          <w:u w:val="none"/>
          <w:lang w:val="zh-CN" w:eastAsia="zh-CN"/>
        </w:rPr>
        <w:t>本措施涉及奖补、奖励资金，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val="en-US" w:eastAsia="zh-CN" w:bidi="ar-SA"/>
        </w:rPr>
        <w:t>实行属地负责制，由企业所在县（区）财政负责兑现，其中市级财政对巴州区、恩阳区、巴中经开区的奖补资金给予50%补助，其余县区的奖补资金由县（区）全额负担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val="zh-CN" w:eastAsia="zh-CN"/>
        </w:rPr>
        <w:t>。</w:t>
      </w:r>
      <w:r>
        <w:rPr>
          <w:rFonts w:ascii="Times New Roman" w:eastAsia="方正仿宋_GBK" w:cs="Times New Roman" w:hAnsi="Times New Roman"/>
          <w:sz w:val="32"/>
          <w:szCs w:val="32"/>
          <w:u w:val="none"/>
          <w:lang w:val="en-US" w:eastAsia="zh-CN" w:bidi="ar-SA"/>
        </w:rPr>
        <w:t>本措施自2022年X月X日起施行，有效期5</w:t>
      </w:r>
      <w:r>
        <w:rPr>
          <w:rFonts w:ascii="Times New Roman" w:eastAsia="方正仿宋_GBK" w:cs="Times New Roman" w:hAnsi="Times New Roman" w:hint="eastAsia"/>
          <w:sz w:val="32"/>
          <w:szCs w:val="32"/>
          <w:u w:val="none"/>
          <w:lang w:val="en-US" w:eastAsia="zh-CN" w:bidi="ar-SA"/>
        </w:rPr>
        <w:t>年。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Courier New">
    <w:altName w:val="DejaVu Sans"/>
    <w:panose1 w:val="020704090202050904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6">
    <w:name w:val="index 6"/>
    <w:basedOn w:val="0"/>
    <w:autoRedefine/>
    <w:next w:val="0"/>
    <w:pPr>
      <w:ind w:left="2100"/>
    </w:pPr>
  </w:style>
  <w:style w:type="paragraph" w:customStyle="1" w:styleId="133">
    <w:name w:val="纯文本1"/>
    <w:next w:val="16"/>
    <w:pPr>
      <w:widowControl w:val="0"/>
      <w:jc w:val="both"/>
    </w:pPr>
    <w:rPr>
      <w:rFonts w:ascii="宋体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14</Words>
  <Characters>14</Characters>
  <Lines>1</Lines>
  <Paragraphs>0</Paragraphs>
  <CharactersWithSpaces>14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2022-06-20T07:16:12Z</dcterms:created>
  <dcterms:modified xsi:type="dcterms:W3CDTF">2022-06-20T07:16:46Z</dcterms:modified>
</cp:coreProperties>
</file>